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0.pdf" ContentType="application/pdf"/>
  <Override PartName="/word/media/rId69.pdf" ContentType="application/pdf"/>
  <Override PartName="/word/media/rId66.pdf" ContentType="application/pdf"/>
  <Override PartName="/word/media/rId63.pdf" ContentType="application/pdf"/>
  <Override PartName="/word/media/rId72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 Anuj</w:t>
      </w:r>
      <w:r>
        <w:t xml:space="preserve"> </w:t>
      </w:r>
      <w:r>
        <w:t xml:space="preserve">Srivastava, Isabela Gerdes Gyuricza,</w:t>
      </w:r>
      <w:r>
        <w:t xml:space="preserve"> </w:t>
      </w:r>
      <w:r>
        <w:t xml:space="preserve">[</w:t>
      </w:r>
      <w:r>
        <w:t xml:space="preserve">Other Churchill people? Jeff</w:t>
      </w:r>
      <w:r>
        <w:t xml:space="preserve"> </w:t>
      </w:r>
      <w:r>
        <w:t xml:space="preserve">Harder?</w:t>
      </w:r>
      <w:r>
        <w:t xml:space="preserve">]</w:t>
      </w:r>
      <w:r>
        <w:t xml:space="preserve">, Nadia A Rosenthal, Alan D Attie, Gary A Churchill and</w:t>
      </w:r>
      <w:r>
        <w:t xml:space="preserve"> </w:t>
      </w:r>
      <w:r>
        <w:t xml:space="preserve">Gregory W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The effects of genetic variants on complex traits are mediated in large</w:t>
      </w:r>
      <w:r>
        <w:t xml:space="preserve"> </w:t>
      </w:r>
      <w:r>
        <w:t xml:space="preserve">part through regulation of gene expression. However there has been</w:t>
      </w:r>
      <w:r>
        <w:t xml:space="preserve"> </w:t>
      </w:r>
      <w:r>
        <w:t xml:space="preserve">limited success in explaining variant-trait associations with regulation</w:t>
      </w:r>
      <w:r>
        <w:t xml:space="preserve"> </w:t>
      </w:r>
      <w:r>
        <w:t xml:space="preserve">of locally encoded genes. There is emerging evidence that distal gene</w:t>
      </w:r>
      <w:r>
        <w:t xml:space="preserve"> </w:t>
      </w:r>
      <w:r>
        <w:t xml:space="preserve">regulation may play an important role in mediating the effect of</w:t>
      </w:r>
      <w:r>
        <w:t xml:space="preserve"> </w:t>
      </w:r>
      <w:r>
        <w:t xml:space="preserve">genotype on phenotype. Here we investigated the roles of local and</w:t>
      </w:r>
      <w:r>
        <w:t xml:space="preserve"> </w:t>
      </w:r>
      <w:r>
        <w:t xml:space="preserve">distal gene regulation on complex traits in a mouse model of</w:t>
      </w:r>
      <w:r>
        <w:t xml:space="preserve"> </w:t>
      </w:r>
      <w:r>
        <w:t xml:space="preserve">diet-induced obesity and metabolic disease. We measured longitudinal</w:t>
      </w:r>
      <w:r>
        <w:t xml:space="preserve"> </w:t>
      </w:r>
      <w:r>
        <w:t xml:space="preserve">metabolic phenotypes in a population of 500 diversity outbred (DO) mice</w:t>
      </w:r>
      <w:r>
        <w:t xml:space="preserve"> </w:t>
      </w:r>
      <w:r>
        <w:t xml:space="preserve">along with transcriptome-wide gene expression in four disease-relevant</w:t>
      </w:r>
      <w:r>
        <w:t xml:space="preserve"> </w:t>
      </w:r>
      <w:r>
        <w:t xml:space="preserve">tissues: adipose, pancreatic islets, liver, and skeletal muscle. We</w:t>
      </w:r>
      <w:r>
        <w:t xml:space="preserve"> </w:t>
      </w:r>
      <w:r>
        <w:t xml:space="preserve">developed a novel high-dimensional mediation analysis (HDMA) to model</w:t>
      </w:r>
      <w:r>
        <w:t xml:space="preserve"> </w:t>
      </w:r>
      <w:r>
        <w:t xml:space="preserve">emergent transcriptomic states mediating genetic effects on traits. We</w:t>
      </w:r>
      <w:r>
        <w:t xml:space="preserve"> </w:t>
      </w:r>
      <w:r>
        <w:t xml:space="preserve">identified a set of tissue-specific composite transcriptomic signatures</w:t>
      </w:r>
      <w:r>
        <w:t xml:space="preserve"> </w:t>
      </w:r>
      <w:r>
        <w:t xml:space="preserve">that were heritable and trait-related. These transcriptomic signatures</w:t>
      </w:r>
      <w:r>
        <w:t xml:space="preserve"> </w:t>
      </w:r>
      <w:r>
        <w:t xml:space="preserve">were highly interpretable in terms of biological processes as well as</w:t>
      </w:r>
      <w:r>
        <w:t xml:space="preserve"> </w:t>
      </w:r>
      <w:r>
        <w:t xml:space="preserve">cell type composition in islets and adipose tissue. The transcripts that</w:t>
      </w:r>
      <w:r>
        <w:t xml:space="preserve"> </w:t>
      </w:r>
      <w:r>
        <w:t xml:space="preserve">contributed most strongly to the composite transcriptomic signatures had</w:t>
      </w:r>
      <w:r>
        <w:t xml:space="preserve"> </w:t>
      </w:r>
      <w:r>
        <w:t xml:space="preserve">low local heritability and high distal heritability and predicted</w:t>
      </w:r>
      <w:r>
        <w:t xml:space="preserve"> </w:t>
      </w:r>
      <w:r>
        <w:t xml:space="preserve">obesity in an independent population of mice and in human study</w:t>
      </w:r>
      <w:r>
        <w:t xml:space="preserve"> </w:t>
      </w:r>
      <w:r>
        <w:t xml:space="preserve">populations with high accuracy. In contrast, local expression</w:t>
      </w:r>
      <w:r>
        <w:t xml:space="preserve"> </w:t>
      </w:r>
      <w:r>
        <w:t xml:space="preserve">quantitative trait loci (eQTL) alone were unable to predict obesity in</w:t>
      </w:r>
      <w:r>
        <w:t xml:space="preserve"> </w:t>
      </w:r>
      <w:r>
        <w:t xml:space="preserve">an independent population. Together these results suggest that both the</w:t>
      </w:r>
      <w:r>
        <w:t xml:space="preserve"> </w:t>
      </w:r>
      <w:r>
        <w:t xml:space="preserve">tissue used for gene expression analysis as well as distal gene</w:t>
      </w:r>
      <w:r>
        <w:t xml:space="preserve"> </w:t>
      </w:r>
      <w:r>
        <w:t xml:space="preserve">regulation are critically important in identifying transcriptional</w:t>
      </w:r>
      <w:r>
        <w:t xml:space="preserve"> </w:t>
      </w:r>
      <w:r>
        <w:t xml:space="preserve">mediators of the genome on complex traits.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</w:t>
      </w:r>
      <w:r>
        <w:t xml:space="preserve"> </w:t>
      </w:r>
      <w:r>
        <w:t xml:space="preserve">tissue, pancreatic islets, liver, and skeletal muscle. The multi-system</w:t>
      </w:r>
      <w:r>
        <w:t xml:space="preserve"> </w:t>
      </w:r>
      <w:r>
        <w:t xml:space="preserve">etiology of metabolic disease complicates mechanistic dissection of the</w:t>
      </w:r>
      <w:r>
        <w:t xml:space="preserve"> </w:t>
      </w:r>
      <w:r>
        <w:t xml:space="preserve">genetic 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 Measuring gene expression in</w:t>
      </w:r>
      <w:r>
        <w:t xml:space="preserve"> </w:t>
      </w:r>
      <w:r>
        <w:t xml:space="preserve">multiple tissues is critical to adequately assess the extent to which</w:t>
      </w:r>
      <w:r>
        <w:t xml:space="preserve"> </w:t>
      </w:r>
      <w:r>
        <w:t xml:space="preserve">local gene regulation varies across multiple tissues and whether such</w:t>
      </w:r>
      <w:r>
        <w:t xml:space="preserve"> </w:t>
      </w:r>
      <w:r>
        <w:t xml:space="preserve">variablilty might account for previous failed attempts to identify</w:t>
      </w:r>
      <w:r>
        <w:t xml:space="preserve"> </w:t>
      </w:r>
      <w:r>
        <w:t xml:space="preserve">trait-relevant local eQTL. Such data sets are extremely difficult to</w:t>
      </w:r>
      <w:r>
        <w:t xml:space="preserve"> </w:t>
      </w:r>
      <w:r>
        <w:t xml:space="preserve">obtain in human populations, particularly in the large numbers of</w:t>
      </w:r>
      <w:r>
        <w:t xml:space="preserve"> </w:t>
      </w:r>
      <w:r>
        <w:t xml:space="preserve">subjects required for adequate statistical power. Thus, to investigate</w:t>
      </w:r>
      <w:r>
        <w:t xml:space="preserve"> </w:t>
      </w:r>
      <w:r>
        <w:t xml:space="preserve">further the role of local and distal gene regulation on complex traits,</w:t>
      </w:r>
      <w:r>
        <w:t xml:space="preserve"> </w:t>
      </w:r>
      <w:r>
        <w:t xml:space="preserve">we have generated an appropriate data set in a large population of</w:t>
      </w:r>
      <w:r>
        <w:t xml:space="preserve"> </w:t>
      </w:r>
      <w:r>
        <w:t xml:space="preserve">diversity outbred (DO) mice</w:t>
      </w:r>
      <w:r>
        <w:rPr>
          <w:vertAlign w:val="superscript"/>
        </w:rPr>
        <w:t xml:space="preserve">21</w:t>
      </w:r>
      <w:r>
        <w:t xml:space="preserve"> </w:t>
      </w:r>
      <w:r>
        <w:t xml:space="preserve">in a population model of</w:t>
      </w:r>
      <w:r>
        <w:t xml:space="preserve"> </w:t>
      </w:r>
      <w:r>
        <w:t xml:space="preserve">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mice were derived from eight inbred founder mouse strains, five</w:t>
      </w:r>
      <w:r>
        <w:t xml:space="preserve"> </w:t>
      </w:r>
      <w:r>
        <w:t xml:space="preserve">classical lab strains, and three strains more recently derived from wild</w:t>
      </w:r>
      <w:r>
        <w:t xml:space="preserve"> </w:t>
      </w:r>
      <w:r>
        <w:t xml:space="preserve">mice</w:t>
      </w:r>
      <w:r>
        <w:rPr>
          <w:vertAlign w:val="superscript"/>
        </w:rPr>
        <w:t xml:space="preserve">21</w:t>
      </w:r>
      <w:r>
        <w:t xml:space="preserve">. 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22</w:t>
      </w:r>
      <w:r>
        <w:t xml:space="preserve">. They are maintained with a</w:t>
      </w:r>
      <w:r>
        <w:t xml:space="preserve"> </w:t>
      </w:r>
      <w:r>
        <w:t xml:space="preserve">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We paired clinically relevant</w:t>
      </w:r>
      <w:r>
        <w:t xml:space="preserve"> </w:t>
      </w:r>
      <w:r>
        <w:t xml:space="preserve">metabolic traits from 500 DO mice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 including body weight,</w:t>
      </w:r>
      <w:r>
        <w:t xml:space="preserve"> </w:t>
      </w:r>
      <w:r>
        <w:t xml:space="preserve">plasma levels of insulin and glucose and plasma lipids,</w:t>
      </w:r>
      <w:r>
        <w:t xml:space="preserve"> </w:t>
      </w:r>
      <w:r>
        <w:t xml:space="preserve">withtranscriptome-wide gene expression in four tissues related to</w:t>
      </w:r>
      <w:r>
        <w:t xml:space="preserve"> </w:t>
      </w:r>
      <w:r>
        <w:t xml:space="preserve">metabolic disease: adipose tissue, pancreatic islets, liver, and</w:t>
      </w:r>
      <w:r>
        <w:t xml:space="preserve"> </w:t>
      </w:r>
      <w:r>
        <w:t xml:space="preserve">skeletal muscle. Taken together, these data enable a comprehensive view</w:t>
      </w:r>
      <w:r>
        <w:t xml:space="preserve"> </w:t>
      </w:r>
      <w:r>
        <w:t xml:space="preserve">into the genetic architecture of metabolic disease.</w:t>
      </w:r>
    </w:p>
    <w:bookmarkEnd w:id="21"/>
    <w:bookmarkStart w:id="56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23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shows that most</w:t>
      </w:r>
      <w:r>
        <w:t xml:space="preserve"> </w:t>
      </w:r>
      <w:r>
        <w:t xml:space="preserve">of the metabolic trait pairs were weakly correlated indicating complex</w:t>
      </w:r>
      <w:r>
        <w:t xml:space="preserve"> </w:t>
      </w:r>
      <w:r>
        <w:t xml:space="preserve">relationships among the measured traits. This low level of redundancy</w:t>
      </w:r>
      <w:r>
        <w:t xml:space="preserve"> </w:t>
      </w:r>
      <w:r>
        <w:t xml:space="preserve">suggests a broad sampling of multiple heritable aspects of metabolic</w:t>
      </w:r>
      <w:r>
        <w:t xml:space="preserve"> </w:t>
      </w:r>
      <w:r>
        <w:t xml:space="preserve">disease including overall body weight, glucose homeostasis, pancreatic</w:t>
      </w:r>
      <w:r>
        <w:t xml:space="preserve"> </w:t>
      </w:r>
      <w:r>
        <w:t xml:space="preserve">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We performed eQTL analysis using R/qtl2</w:t>
      </w:r>
      <w:r>
        <w:rPr>
          <w:vertAlign w:val="superscript"/>
        </w:rPr>
        <w:t xml:space="preserve">24</w:t>
      </w:r>
      <w:r>
        <w:t xml:space="preserve"> </w:t>
      </w:r>
      <w:r>
        <w:t xml:space="preserve">(Methods)</w:t>
      </w:r>
      <w:r>
        <w:t xml:space="preserve"> </w:t>
      </w:r>
      <w:r>
        <w:t xml:space="preserve">and identified both local and distal eQTLs for transcripts in each of</w:t>
      </w:r>
      <w:r>
        <w:t xml:space="preserve"> </w:t>
      </w:r>
      <w:r>
        <w:t xml:space="preserve">the four tissues (Supp. Fig 1). Significant local eQTLs far outnumbered</w:t>
      </w:r>
      <w:r>
        <w:t xml:space="preserve"> </w:t>
      </w:r>
      <w:r>
        <w:t xml:space="preserve">distal eQTLs (Supp. Fig. 1F) and tended to be shared across tissues</w:t>
      </w:r>
      <w:r>
        <w:t xml:space="preserve"> </w:t>
      </w:r>
      <w:r>
        <w:t xml:space="preserve">(Supp. Fig. 1G) whereas the few significant distal eQTLs we identified</w:t>
      </w:r>
      <w:r>
        <w:t xml:space="preserve"> </w:t>
      </w:r>
      <w:r>
        <w:t xml:space="preserve">tended to be tissue-specific (Supp. Fig. 1H)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The local heritability of transcripts was negatively correlated with</w:t>
      </w:r>
      <w:r>
        <w:t xml:space="preserve"> </w:t>
      </w:r>
      <w:r>
        <w:t xml:space="preserve">their trait relevance, defined as the maximum correlation of a</w:t>
      </w:r>
      <w:r>
        <w:t xml:space="preserve"> </w:t>
      </w:r>
      <w:r>
        <w:t xml:space="preserve">transcript across all traits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 This suggests</w:t>
      </w:r>
      <w:r>
        <w:t xml:space="preserve"> </w:t>
      </w:r>
      <w:r>
        <w:t xml:space="preserve">that the more local genotype influenced transcript abundance, the less</w:t>
      </w:r>
      <w:r>
        <w:t xml:space="preserve"> </w:t>
      </w:r>
      <w:r>
        <w:t xml:space="preserve">effect this variation had on the measured traits. Conversely, the distal</w:t>
      </w:r>
      <w:r>
        <w:t xml:space="preserve"> </w:t>
      </w:r>
      <w:r>
        <w:t xml:space="preserve">heritability of transcripts was positively correlated with trait</w:t>
      </w:r>
      <w:r>
        <w:t xml:space="preserve"> </w:t>
      </w:r>
      <w:r>
        <w:t xml:space="preserve">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</w:t>
      </w:r>
      <w:r>
        <w:t xml:space="preserve"> </w:t>
      </w:r>
      <w:r>
        <w:t xml:space="preserve">more highly correlated with the measured traits tended to be distally,</w:t>
      </w:r>
      <w:r>
        <w:t xml:space="preserve"> </w:t>
      </w:r>
      <w:r>
        <w:t xml:space="preserve">rather than locally, heritable. Importantly, this pattern was consistent</w:t>
      </w:r>
      <w:r>
        <w:t xml:space="preserve"> </w:t>
      </w:r>
      <w:r>
        <w:t xml:space="preserve">across all tissues, strongly suggesting that this is a generic finding.</w:t>
      </w:r>
      <w:r>
        <w:t xml:space="preserve"> </w:t>
      </w:r>
      <w:r>
        <w:t xml:space="preserve">This finding is consistent with previous observations that</w:t>
      </w:r>
      <w:r>
        <w:t xml:space="preserve"> </w:t>
      </w:r>
      <w:r>
        <w:t xml:space="preserve">low-heritability transcripts explain more expression-mediated disease</w:t>
      </w:r>
      <w:r>
        <w:t xml:space="preserve"> </w:t>
      </w:r>
      <w:r>
        <w:t xml:space="preserve">heritability than high-heritability transcripts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However, the positive relationship between trait correlation and distal</w:t>
      </w:r>
      <w:r>
        <w:t xml:space="preserve"> </w:t>
      </w:r>
      <w:r>
        <w:t xml:space="preserve">heritability demonstrated further that there are diffuse genetic effects</w:t>
      </w:r>
      <w:r>
        <w:t xml:space="preserve"> </w:t>
      </w:r>
      <w:r>
        <w:t xml:space="preserve">throughout the genome converging on trait-related transcripts.</w:t>
      </w:r>
    </w:p>
    <w:bookmarkEnd w:id="29"/>
    <w:bookmarkStart w:id="33" w:name="Xd6f2998df23f156e3c1a905941f24c92453b8db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perfectly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degrees of freedom of the</w:t>
      </w:r>
      <w:r>
        <w:t xml:space="preserve"> </w:t>
      </w:r>
      <w:r>
        <w:t xml:space="preserve">phenome. Thus, we expect the heritable, trait-relevant transcripts to be</w:t>
      </w:r>
      <w:r>
        <w:t xml:space="preserve"> </w:t>
      </w:r>
      <w:r>
        <w:t xml:space="preserve">highly correlated and organized according to coherent, emergent</w:t>
      </w:r>
      <w:r>
        <w:t xml:space="preserve"> </w:t>
      </w:r>
      <w:r>
        <w:t xml:space="preserve">biological processes representing the mediating endophenotypes driving</w:t>
      </w:r>
      <w:r>
        <w:t xml:space="preserve"> </w:t>
      </w:r>
      <w:r>
        <w:t xml:space="preserve">clinical trait variation. To identify these endophenotypes in a</w:t>
      </w:r>
      <w:r>
        <w:t xml:space="preserve"> </w:t>
      </w:r>
      <w:r>
        <w:t xml:space="preserve">theoretically principled way, we developed a novel dimension-reduction</w:t>
      </w:r>
      <w:r>
        <w:t xml:space="preserve"> </w:t>
      </w:r>
      <w:r>
        <w:t xml:space="preserve">technique, HDMA, that uses the theory of causal graphical models to</w:t>
      </w:r>
      <w:r>
        <w:t xml:space="preserve"> </w:t>
      </w:r>
      <w:r>
        <w:t xml:space="preserve">identify a transcriptomic signature that is simultaneously 1) highly</w:t>
      </w:r>
      <w:r>
        <w:t xml:space="preserve"> </w:t>
      </w:r>
      <w:r>
        <w:t xml:space="preserve">heritable, 2) strongly correlated to the measured phenotypes, and 3)</w:t>
      </w:r>
      <w:r>
        <w:t xml:space="preserve"> </w:t>
      </w:r>
      <w:r>
        <w:t xml:space="preserve">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</w:t>
      </w:r>
      <w:r>
        <w:t xml:space="preserve"> </w:t>
      </w:r>
      <w:r>
        <w:t xml:space="preserve">HDMA projects the high-dimensional scores–a composite genome score</w:t>
      </w:r>
      <w:r>
        <w:t xml:space="preserve"> </w:t>
      </w:r>
      <w:r>
        <w:t xml:space="preserve">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</w:t>
      </w:r>
      <w:r>
        <w:t xml:space="preserve"> </w:t>
      </w:r>
      <w:r>
        <w:t xml:space="preserve">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</w:t>
      </w:r>
      <w:r>
        <w:t xml:space="preserve"> </w:t>
      </w:r>
      <w:r>
        <w:t xml:space="preserve">constrain these projections to satisfy the hypotheses of perfect</w:t>
      </w:r>
      <w:r>
        <w:t xml:space="preserve"> </w:t>
      </w:r>
      <w:r>
        <w:t xml:space="preserve">mediation. Specifically, perfect mediation implies that upon controlling</w:t>
      </w:r>
      <w:r>
        <w:t xml:space="preserve"> </w:t>
      </w:r>
      <w:r>
        <w:t xml:space="preserve">for the transcriptomic score, the genome score is uncorrelated to the</w:t>
      </w:r>
      <w:r>
        <w:t xml:space="preserve"> </w:t>
      </w:r>
      <w:r>
        <w:t xml:space="preserve">phenome score, which can also be viewed as a constraint on the</w:t>
      </w:r>
      <w:r>
        <w:t xml:space="preserve"> </w:t>
      </w:r>
      <w:r>
        <w:t xml:space="preserve">correlation coefficients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which corresponds to the path coefficient in the mediation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Operationally, HDMA is closely related to generalized</w:t>
      </w:r>
      <w:r>
        <w:t xml:space="preserve"> </w:t>
      </w:r>
      <w:r>
        <w:t xml:space="preserve">canonical correlation analysis,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25</w:t>
      </w:r>
      <w:r>
        <w:t xml:space="preserve">. Implementation details for</w:t>
      </w:r>
      <w:r>
        <w:t xml:space="preserve"> </w:t>
      </w:r>
      <w:r>
        <w:t xml:space="preserve">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kernelized to yield single matrices representing</w:t>
      </w:r>
      <w:r>
        <w:t xml:space="preserve"> </w:t>
      </w:r>
      <w:r>
        <w:t xml:space="preserve">the relationships between all individuals for each data modality (</w:t>
      </w:r>
      <m:oMath>
        <m:sSub>
          <m:e>
            <m:r>
              <m:t>G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genome kernel,</w:t>
      </w:r>
      <w:r>
        <w:t xml:space="preserve"> </w:t>
      </w:r>
      <m:oMath>
        <m:sSub>
          <m:e>
            <m:r>
              <m:t>T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transcriptome kernel;</w:t>
      </w:r>
      <w:r>
        <w:t xml:space="preserve"> </w:t>
      </w:r>
      <m:oMath>
        <m:sSub>
          <m:e>
            <m:r>
              <m:t>P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phenome kernel). High-dimensional</w:t>
      </w:r>
      <w:r>
        <w:t xml:space="preserve"> </w:t>
      </w:r>
      <w:r>
        <w:t xml:space="preserve">mediation was applied to these matrices to maximize the 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 while</w:t>
      </w:r>
      <w:r>
        <w:t xml:space="preserve"> </w:t>
      </w:r>
      <w:r>
        <w:t xml:space="preserve">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 line).</w:t>
      </w:r>
      <w:r>
        <w:t xml:space="preserve"> </w:t>
      </w:r>
      <w:r>
        <w:t xml:space="preserve">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high-dimensioal mediation to identify the major axis of</w:t>
      </w:r>
      <w:r>
        <w:t xml:space="preserve"> </w:t>
      </w:r>
      <w:r>
        <w:t xml:space="preserve">variation in the transcriptome that mediated the effects of the genome</w:t>
      </w:r>
      <w:r>
        <w:t xml:space="preserve"> </w:t>
      </w:r>
      <w:r>
        <w:t xml:space="preserve">on 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that was</w:t>
      </w:r>
      <w:r>
        <w:t xml:space="preserve"> </w:t>
      </w:r>
      <w:r>
        <w:t xml:space="preserve">perfectly mediated by a highly heritable component of the transcriptome.</w:t>
      </w:r>
    </w:p>
    <w:p>
      <w:pPr>
        <w:pStyle w:val="BodyText"/>
      </w:pPr>
      <w:r>
        <w:t xml:space="preserve">Standard CCA is prone to over-fitting because in any two large matrices</w:t>
      </w:r>
      <w:r>
        <w:t xml:space="preserve"> </w:t>
      </w:r>
      <w:r>
        <w:t xml:space="preserve">it can be trivial to identify highly correlated composite 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 similarly</w:t>
      </w:r>
      <w:r>
        <w:t xml:space="preserve"> </w:t>
      </w:r>
      <w:r>
        <w:t xml:space="preserve">prone to over-fitting in a high-dimensional space, we performed</w:t>
      </w:r>
      <w:r>
        <w:t xml:space="preserve"> </w:t>
      </w:r>
      <w:r>
        <w:t xml:space="preserve">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path</w:t>
      </w:r>
      <w:r>
        <w:t xml:space="preserve"> </w:t>
      </w:r>
      <w:r>
        <w:t xml:space="preserve">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</w:t>
      </w:r>
      <w:r>
        <w:t xml:space="preserve"> </w:t>
      </w:r>
      <w:r>
        <w:t xml:space="preserve">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the red line. The observed path coefficient was</w:t>
      </w:r>
      <w:r>
        <w:t xml:space="preserve"> </w:t>
      </w:r>
      <w:r>
        <w:t xml:space="preserve">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transcriptional mediation of body weight and insulin resistance, as</w:t>
      </w:r>
      <w:r>
        <w:t xml:space="preserve"> </w:t>
      </w:r>
      <w:r>
        <w:t xml:space="preserve">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transcripts in adipose tissue were the best mediators of the</w:t>
      </w:r>
      <w:r>
        <w:t xml:space="preserve"> </w:t>
      </w:r>
      <w:r>
        <w:t xml:space="preserve">genetic effects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26,27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 KEGG pathways associated with</w:t>
      </w:r>
      <w:r>
        <w:t xml:space="preserve"> </w:t>
      </w:r>
      <w:r>
        <w:t xml:space="preserve">inflammation, particularly macrophage infiltration, were positively</w:t>
      </w:r>
      <w:r>
        <w:t xml:space="preserve"> </w:t>
      </w:r>
      <w:r>
        <w:t xml:space="preserve">associated with metabolic index, indicating that increased expression in</w:t>
      </w:r>
      <w:r>
        <w:t xml:space="preserve"> </w:t>
      </w:r>
      <w:r>
        <w:t xml:space="preserve">inflammatory pathways was associated with a higher metabolic index. It</w:t>
      </w:r>
      <w:r>
        <w:t xml:space="preserve"> </w:t>
      </w:r>
      <w:r>
        <w:t xml:space="preserve">is well established that adipose tissue in obese individuals is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 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</w:t>
      </w:r>
      <w:r>
        <w:t xml:space="preserve"> </w:t>
      </w:r>
      <w:r>
        <w:t xml:space="preserve">here suggest that this may be a heritable component of metabolic</w:t>
      </w:r>
      <w:r>
        <w:t xml:space="preserve"> </w:t>
      </w:r>
      <w:r>
        <w:t xml:space="preserve">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 shown mouse</w:t>
      </w:r>
      <w:r>
        <w:t xml:space="preserve"> </w:t>
      </w:r>
      <w:r>
        <w:t xml:space="preserve">strains with greater thermogenic potential are also less susceptible to</w:t>
      </w:r>
      <w:r>
        <w:t xml:space="preserve"> </w:t>
      </w:r>
      <w:r>
        <w:t xml:space="preserve">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Fig. 3).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12,28,29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2.25 more likely than TWAS hits and 3.6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</w:t>
      </w:r>
      <w:r>
        <w:t xml:space="preserve"> </w:t>
      </w:r>
      <w:r>
        <w:t xml:space="preserve">Except for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cluster, which had large positive loadings in</w:t>
      </w:r>
      <w:r>
        <w:t xml:space="preserve"> </w:t>
      </w:r>
      <w:r>
        <w:t xml:space="preserve">three of the four tissues, all clusters were strongly loaded in only one</w:t>
      </w:r>
      <w:r>
        <w:t xml:space="preserve"> </w:t>
      </w:r>
      <w:r>
        <w:t xml:space="preserve">or two tissues. For example, the lipid metabolism cluster was loaded</w:t>
      </w:r>
      <w:r>
        <w:t xml:space="preserve"> </w:t>
      </w:r>
      <w:r>
        <w:t xml:space="preserve">most heavily in liver. The positive loadings suggest that high</w:t>
      </w:r>
      <w:r>
        <w:t xml:space="preserve"> </w:t>
      </w:r>
      <w:r>
        <w:t xml:space="preserve">expression of these genes particularly in the liver was associated with</w:t>
      </w:r>
      <w:r>
        <w:t xml:space="preserve"> </w:t>
      </w:r>
      <w:r>
        <w:t xml:space="preserve">increased 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 role is in the adipose tissue where it is</w:t>
      </w:r>
      <w:r>
        <w:t xml:space="preserve"> </w:t>
      </w:r>
      <w:r>
        <w:t xml:space="preserve">considered a master regulator of adipogenesis</w:t>
      </w:r>
      <w:r>
        <w:rPr>
          <w:vertAlign w:val="superscript"/>
        </w:rPr>
        <w:t xml:space="preserve">30</w:t>
      </w:r>
      <w:r>
        <w:t xml:space="preserve">.</w:t>
      </w:r>
      <w:r>
        <w:t xml:space="preserve"> </w:t>
      </w:r>
      <w:r>
        <w:t xml:space="preserve">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which are</w:t>
      </w:r>
      <w:r>
        <w:t xml:space="preserve"> </w:t>
      </w:r>
      <w:r>
        <w:t xml:space="preserve">FDA-approved to treat type II diabetes, reduce inflammation and adipose</w:t>
      </w:r>
      <w:r>
        <w:t xml:space="preserve"> </w:t>
      </w:r>
      <w:r>
        <w:t xml:space="preserve">hyptertrophy</w:t>
      </w:r>
      <w:r>
        <w:rPr>
          <w:vertAlign w:val="superscript"/>
        </w:rPr>
        <w:t xml:space="preserve">30</w:t>
      </w:r>
      <w:r>
        <w:t xml:space="preserve">. Consistent with this role, the loading</w:t>
      </w:r>
      <w:r>
        <w:t xml:space="preserve"> </w:t>
      </w:r>
      <w:r>
        <w:t xml:space="preserve">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</w:t>
      </w:r>
      <w:r>
        <w:t xml:space="preserve"> </w:t>
      </w:r>
      <w:r>
        <w:t xml:space="preserve">higher 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</w:t>
      </w:r>
      <w:r>
        <w:t xml:space="preserve"> </w:t>
      </w:r>
      <w:r>
        <w:t xml:space="preserve">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</w:t>
      </w:r>
      <w:r>
        <w:t xml:space="preserve"> </w:t>
      </w:r>
      <w:r>
        <w:t xml:space="preserve">it 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31,32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33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34,35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 4). However, these imputed values failed to predict body</w:t>
      </w:r>
      <w:r>
        <w:t xml:space="preserve"> </w:t>
      </w:r>
      <w:r>
        <w:t xml:space="preserve">weight in the CC-RIX when weighted with 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 result suggests that local</w:t>
      </w:r>
      <w:r>
        <w:t xml:space="preserve"> </w:t>
      </w:r>
      <w:r>
        <w:t xml:space="preserve">regulation of gene expression is not the primary factor driving</w:t>
      </w:r>
      <w:r>
        <w:t xml:space="preserve"> </w:t>
      </w:r>
      <w:r>
        <w:t xml:space="preserve">heritability of complex traits, consistent with our findings in the DO</w:t>
      </w:r>
      <w:r>
        <w:t xml:space="preserve"> </w:t>
      </w:r>
      <w:r>
        <w:t xml:space="preserve">population that distal heritability was a major driver of trait-relevant</w:t>
      </w:r>
      <w:r>
        <w:t xml:space="preserve"> </w:t>
      </w:r>
      <w:r>
        <w:t xml:space="preserve">variation and that high-loading transcripts had comparatively high</w:t>
      </w:r>
      <w:r>
        <w:t xml:space="preserve"> </w:t>
      </w:r>
      <w:r>
        <w:t xml:space="preserve">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derived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an important driver of obesity in the DO</w:t>
      </w:r>
      <w:r>
        <w:t xml:space="preserve"> </w:t>
      </w:r>
      <w:r>
        <w:t xml:space="preserve">population. To determine whether this is reflected as an increase in</w:t>
      </w:r>
      <w:r>
        <w:t xml:space="preserve"> </w:t>
      </w:r>
      <w:r>
        <w:t xml:space="preserve">macrophages in adipose tissue, we compared loadings of cell-type</w:t>
      </w:r>
      <w:r>
        <w:t xml:space="preserve"> </w:t>
      </w:r>
      <w:r>
        <w:t xml:space="preserve">specific genes in adipose tissue (Methods). The mean loading of</w:t>
      </w:r>
      <w:r>
        <w:t xml:space="preserve"> </w:t>
      </w:r>
      <w:r>
        <w:t xml:space="preserve">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This is not necessarily</w:t>
      </w:r>
      <w:r>
        <w:t xml:space="preserve"> </w:t>
      </w:r>
      <w:r>
        <w:t xml:space="preserve">reflective of the function of the beta cells in the obese mice, but</w:t>
      </w:r>
      <w:r>
        <w:t xml:space="preserve"> </w:t>
      </w:r>
      <w:r>
        <w:t xml:space="preserve">rather suggests that any variation in the number of beta cells in these</w:t>
      </w:r>
      <w:r>
        <w:t xml:space="preserve"> </w:t>
      </w:r>
      <w:r>
        <w:t xml:space="preserve">mice was unrelated to obesity and insulin resistance. This is further</w:t>
      </w:r>
      <w:r>
        <w:t xml:space="preserve"> </w:t>
      </w:r>
      <w:r>
        <w:t xml:space="preserve">consistent with the islet composition traits having small loadings in</w:t>
      </w:r>
      <w:r>
        <w:t xml:space="preserve"> </w:t>
      </w:r>
      <w:r>
        <w:t xml:space="preserve">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obesity identified in DO mice is relevant to</w:t>
      </w:r>
      <w:r>
        <w:t xml:space="preserve"> </w:t>
      </w:r>
      <w:r>
        <w:t xml:space="preserve">obesity and diabetes in human subjects.</w:t>
      </w:r>
    </w:p>
    <w:bookmarkEnd w:id="54"/>
    <w:bookmarkStart w:id="55" w:name="targeting-gene-signatures"/>
    <w:p>
      <w:pPr>
        <w:pStyle w:val="Heading3"/>
      </w:pPr>
      <w:r>
        <w:t xml:space="preserve">Targeting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</w:t>
      </w:r>
      <w:r>
        <w:t xml:space="preserve"> </w:t>
      </w:r>
      <w:r>
        <w:t xml:space="preserve">[</w:t>
      </w:r>
      <w:r>
        <w:t xml:space="preserve">cite or remove</w:t>
      </w:r>
      <w:r>
        <w:t xml:space="preserve">]</w:t>
      </w:r>
      <w:r>
        <w:t xml:space="preserve">. The ConnectivityMap (CMAP) database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developed by the Broad Institute allows us to query thousands of</w:t>
      </w:r>
      <w:r>
        <w:t xml:space="preserve"> </w:t>
      </w:r>
      <w:r>
        <w:t xml:space="preserve">compounds that reverse or enhance the extreme ends of transcriptomic</w:t>
      </w:r>
      <w:r>
        <w:t xml:space="preserve"> </w:t>
      </w:r>
      <w:r>
        <w:t xml:space="preserve">signatures in multiple different cell types. By identifying drugs that</w:t>
      </w:r>
      <w:r>
        <w:t xml:space="preserve"> </w:t>
      </w:r>
      <w:r>
        <w:t xml:space="preserve">reverse pathogenic transcriptomic signatures, we can potentially</w:t>
      </w:r>
      <w:r>
        <w:t xml:space="preserve"> </w:t>
      </w:r>
      <w:r>
        <w:t xml:space="preserve">identify compounds that have favorable effects on gene 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(Methods). We identified top</w:t>
      </w:r>
      <w:r>
        <w:t xml:space="preserve"> </w:t>
      </w:r>
      <w:r>
        <w:t xml:space="preserve">anti-correlated hits both across all cell types, as well as in</w:t>
      </w:r>
      <w:r>
        <w:t xml:space="preserve"> </w:t>
      </w:r>
      <w:r>
        <w:t xml:space="preserve">adipocytes and pancreatic tumor cells (Supplemental Figure XXX and XXX).</w:t>
      </w:r>
    </w:p>
    <w:p>
      <w:pPr>
        <w:pStyle w:val="BodyText"/>
      </w:pPr>
      <w:r>
        <w:t xml:space="preserve">Looking broadly across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36,37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37–39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40,41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42–44</w:t>
      </w:r>
      <w:r>
        <w:t xml:space="preserve">, but increase thermogenesis in human adipocytes</w:t>
      </w:r>
      <w:r>
        <w:rPr>
          <w:vertAlign w:val="superscript"/>
        </w:rPr>
        <w:t xml:space="preserve">45,46</w:t>
      </w:r>
      <w:r>
        <w:t xml:space="preserve">. Thus, the pathways identified by CMAP</w:t>
      </w:r>
      <w:r>
        <w:t xml:space="preserve"> </w:t>
      </w:r>
      <w:r>
        <w:t xml:space="preserve">across all cell types were highly related to the transcript loading</w:t>
      </w:r>
      <w:r>
        <w:t xml:space="preserve"> </w:t>
      </w:r>
      <w:r>
        <w:t xml:space="preserve">profiles, but the relationship was not a simple reversal.</w:t>
      </w:r>
    </w:p>
    <w:p>
      <w:pPr>
        <w:pStyle w:val="BodyText"/>
      </w:pPr>
      <w:r>
        <w:t xml:space="preserve">The top hit in adipocytes was a PARP inhibitor (Supplemental Figure</w:t>
      </w:r>
      <w:r>
        <w:t xml:space="preserve"> </w:t>
      </w:r>
      <w:r>
        <w:t xml:space="preserve">XXXB). PARPs play a role in lipid metabolism and are involved in the</w:t>
      </w:r>
      <w:r>
        <w:t xml:space="preserve"> </w:t>
      </w:r>
      <w:r>
        <w:t xml:space="preserve">development of obesity and diabetes</w:t>
      </w:r>
      <w:r>
        <w:rPr>
          <w:vertAlign w:val="superscript"/>
        </w:rPr>
        <w:t xml:space="preserve">47</w:t>
      </w:r>
      <w:r>
        <w:t xml:space="preserve">. PARP1</w:t>
      </w:r>
      <w:r>
        <w:t xml:space="preserve"> </w:t>
      </w:r>
      <w:r>
        <w:t xml:space="preserve">inhibition increases mitochondrial biogenesis</w:t>
      </w:r>
      <w:r>
        <w:rPr>
          <w:vertAlign w:val="superscript"/>
        </w:rPr>
        <w:t xml:space="preserve">48</w:t>
      </w:r>
      <w:r>
        <w:t xml:space="preserve">.</w:t>
      </w:r>
      <w:r>
        <w:t xml:space="preserve"> </w:t>
      </w:r>
      <w:r>
        <w:t xml:space="preserve">Inihibition of PARP1 activity can further prevent necrosis in favor of</w:t>
      </w:r>
      <w:r>
        <w:t xml:space="preserve"> </w:t>
      </w:r>
      <w:r>
        <w:t xml:space="preserve">the less inflammatory apoptosis</w:t>
      </w:r>
      <w:r>
        <w:rPr>
          <w:vertAlign w:val="superscript"/>
        </w:rPr>
        <w:t xml:space="preserve">49</w:t>
      </w:r>
      <w:r>
        <w:t xml:space="preserve">, thereby potentially</w:t>
      </w:r>
      <w:r>
        <w:t xml:space="preserve"> </w:t>
      </w:r>
      <w:r>
        <w:t xml:space="preserve">reducing inflammation in stressed adipocytes. Other notable hits in the</w:t>
      </w:r>
      <w:r>
        <w:t xml:space="preserve"> </w:t>
      </w:r>
      <w:r>
        <w:t xml:space="preserve">top 20 were BTK inhibitors, which have been observed to suppress</w:t>
      </w:r>
      <w:r>
        <w:t xml:space="preserve"> </w:t>
      </w:r>
      <w:r>
        <w:t xml:space="preserve">inflammation and improve insulin resistance</w:t>
      </w:r>
      <w:r>
        <w:rPr>
          <w:vertAlign w:val="superscript"/>
        </w:rPr>
        <w:t xml:space="preserve">50</w:t>
      </w:r>
      <w:r>
        <w:t xml:space="preserve"> </w:t>
      </w:r>
      <w:r>
        <w:t xml:space="preserve">as well</w:t>
      </w:r>
      <w:r>
        <w:t xml:space="preserve"> </w:t>
      </w:r>
      <w:r>
        <w:t xml:space="preserve">as to reduce insulin antibodies in type I diabetes</w:t>
      </w:r>
      <w:r>
        <w:rPr>
          <w:vertAlign w:val="superscript"/>
        </w:rPr>
        <w:t xml:space="preserve">51</w:t>
      </w:r>
      <w:r>
        <w:t xml:space="preserve">,</w:t>
      </w:r>
      <w:r>
        <w:t xml:space="preserve"> </w:t>
      </w:r>
      <w:r>
        <w:t xml:space="preserve">and IKK 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52,53</w:t>
      </w:r>
      <w:r>
        <w:t xml:space="preserve">.</w:t>
      </w:r>
    </w:p>
    <w:p>
      <w:pPr>
        <w:pStyle w:val="BodyText"/>
      </w:pPr>
      <w:r>
        <w:t xml:space="preserve">The CMAP database includes assays in multiple cell types. Among the top</w:t>
      </w:r>
      <w:r>
        <w:t xml:space="preserve"> </w:t>
      </w:r>
      <w:r>
        <w:t xml:space="preserve">hits for the query with transcript loadings from pancreatic islets (Fig.</w:t>
      </w:r>
      <w:r>
        <w:t xml:space="preserve"> </w:t>
      </w:r>
      <w:r>
        <w:t xml:space="preserve">XXX), was suppression of T cell receptor signaling, which is known to be</w:t>
      </w:r>
      <w:r>
        <w:t xml:space="preserve"> </w:t>
      </w:r>
      <w:r>
        <w:t xml:space="preserve">involved in Type 1 diabetes</w:t>
      </w:r>
      <w:r>
        <w:rPr>
          <w:vertAlign w:val="superscript"/>
        </w:rPr>
        <w:t xml:space="preserve">54</w:t>
      </w:r>
      <w:r>
        <w:t xml:space="preserve">, as well as TNFR1, which</w:t>
      </w:r>
      <w:r>
        <w:t xml:space="preserve"> </w:t>
      </w:r>
      <w:r>
        <w:t xml:space="preserve">has been associated with mortality in diabetes patients</w:t>
      </w:r>
      <w:r>
        <w:rPr>
          <w:vertAlign w:val="superscript"/>
        </w:rPr>
        <w:t xml:space="preserve">55</w:t>
      </w:r>
      <w:r>
        <w:t xml:space="preserve">. Suppression of NOD1/2 signaling was also among the</w:t>
      </w:r>
      <w:r>
        <w:t xml:space="preserve"> </w:t>
      </w:r>
      <w:r>
        <w:t xml:space="preserve">top hits. NOD1 and 2 sense ER stress</w:t>
      </w:r>
      <w:r>
        <w:rPr>
          <w:vertAlign w:val="superscript"/>
        </w:rPr>
        <w:t xml:space="preserve">56,57</w:t>
      </w:r>
      <w:r>
        <w:t xml:space="preserve">,</w:t>
      </w:r>
      <w:r>
        <w:t xml:space="preserve"> </w:t>
      </w:r>
      <w:r>
        <w:t xml:space="preserve">which is associated with</w:t>
      </w:r>
      <w:r>
        <w:t xml:space="preserve"> </w:t>
      </w:r>
      <m:oMath>
        <m:r>
          <m:t>β</m:t>
        </m:r>
      </m:oMath>
      <w:r>
        <w:t xml:space="preserve">-cell death in type 1 and type 2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58</w:t>
      </w:r>
      <w:r>
        <w:t xml:space="preserve">. This cell death process is dependent on</w:t>
      </w:r>
      <w:r>
        <w:t xml:space="preserve"> </w:t>
      </w:r>
      <w:r>
        <w:t xml:space="preserve">NOD1/2 signaling</w:t>
      </w:r>
      <w:r>
        <w:rPr>
          <w:vertAlign w:val="superscript"/>
        </w:rPr>
        <w:t xml:space="preserve">56</w:t>
      </w:r>
      <w:r>
        <w:t xml:space="preserve">, although the specifics have not</w:t>
      </w:r>
      <w:r>
        <w:t xml:space="preserve"> </w:t>
      </w:r>
      <w:r>
        <w:t xml:space="preserve">yet been worked out.</w:t>
      </w:r>
    </w:p>
    <w:p>
      <w:pPr>
        <w:pStyle w:val="BodyText"/>
      </w:pPr>
      <w:r>
        <w:t xml:space="preserve">Among the top hits in pancreatic tumor cells were known diabetes drugs,</w:t>
      </w:r>
      <w:r>
        <w:t xml:space="preserve"> </w:t>
      </w:r>
      <w:r>
        <w:t xml:space="preserve">including sulfonylureas, PPAR receptor agonists, and insulin</w:t>
      </w:r>
      <w:r>
        <w:t xml:space="preserve"> </w:t>
      </w:r>
      <w:r>
        <w:t xml:space="preserve">sensitizers. Rosiglitazone is a PPAR-</w:t>
      </w:r>
      <m:oMath>
        <m:r>
          <m:t>γ</m:t>
        </m:r>
      </m:oMath>
      <w:r>
        <w:t xml:space="preserve"> </w:t>
      </w:r>
      <w:r>
        <w:t xml:space="preserve">agonist and was one of</w:t>
      </w:r>
      <w:r>
        <w:t xml:space="preserve"> </w:t>
      </w:r>
      <w:r>
        <w:t xml:space="preserve">the most prescribed drugs for type 2 diabetes before its use was reduced</w:t>
      </w:r>
      <w:r>
        <w:t xml:space="preserve"> </w:t>
      </w:r>
      <w:r>
        <w:t xml:space="preserve">due to cardiac side-effects</w:t>
      </w:r>
      <w:r>
        <w:rPr>
          <w:vertAlign w:val="superscript"/>
        </w:rPr>
        <w:t xml:space="preserve">59</w:t>
      </w:r>
      <w:r>
        <w:t xml:space="preserve">. Sulfonylureas are</w:t>
      </w:r>
      <w:r>
        <w:t xml:space="preserve"> </w:t>
      </w:r>
      <w:r>
        <w:t xml:space="preserve">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60</w:t>
      </w:r>
      <w:r>
        <w:t xml:space="preserve">.</w:t>
      </w:r>
    </w:p>
    <w:bookmarkEnd w:id="55"/>
    <w:bookmarkEnd w:id="56"/>
    <w:bookmarkStart w:id="57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identify tissue-specific transcriptomic signatures that mediated the</w:t>
      </w:r>
      <w:r>
        <w:t xml:space="preserve"> </w:t>
      </w:r>
      <w:r>
        <w:t xml:space="preserve">effects of genetic background on metabolic traits in a large population</w:t>
      </w:r>
      <w:r>
        <w:t xml:space="preserve"> </w:t>
      </w:r>
      <w:r>
        <w:t xml:space="preserve">of diversity outbred (DO) mice. The signatures we identified explained</w:t>
      </w:r>
      <w:r>
        <w:t xml:space="preserve"> </w:t>
      </w:r>
      <w:r>
        <w:t xml:space="preserve">about 30% of overall trait variation and were highly interpretable in</w:t>
      </w:r>
      <w:r>
        <w:t xml:space="preserve"> </w:t>
      </w:r>
      <w:r>
        <w:t xml:space="preserve">terms of enriched biological processes. The transcripts with the largest</w:t>
      </w:r>
      <w:r>
        <w:t xml:space="preserve"> </w:t>
      </w:r>
      <w:r>
        <w:t xml:space="preserve">contributions to these signatures tended to have high distal</w:t>
      </w:r>
      <w:r>
        <w:t xml:space="preserve"> </w:t>
      </w:r>
      <w:r>
        <w:t xml:space="preserve">heritability and low local heritability suggesting that many</w:t>
      </w:r>
      <w:r>
        <w:t xml:space="preserve"> </w:t>
      </w:r>
      <w:r>
        <w:t xml:space="preserve">trait-associated variants may be regulating gene expression in</w:t>
      </w:r>
      <w:r>
        <w:t xml:space="preserve"> </w:t>
      </w:r>
      <w:r>
        <w:rPr>
          <w:iCs/>
          <w:i/>
        </w:rPr>
        <w:t xml:space="preserve">trans</w:t>
      </w:r>
      <w:r>
        <w:t xml:space="preserve">, rather than</w:t>
      </w:r>
      <w:r>
        <w:t xml:space="preserve"> </w:t>
      </w:r>
      <w:r>
        <w:rPr>
          <w:iCs/>
          <w:i/>
        </w:rPr>
        <w:t xml:space="preserve">cis</w:t>
      </w:r>
      <w:r>
        <w:t xml:space="preserve">. Combining the loadings from</w:t>
      </w:r>
      <w:r>
        <w:t xml:space="preserve"> </w:t>
      </w:r>
      <w:r>
        <w:t xml:space="preserve">the transcript signatures with gene expression in an independent mouse</w:t>
      </w:r>
      <w:r>
        <w:t xml:space="preserve"> </w:t>
      </w:r>
      <w:r>
        <w:t xml:space="preserve">population with divergent allele structure predicted obesity in these</w:t>
      </w:r>
      <w:r>
        <w:t xml:space="preserve"> </w:t>
      </w:r>
      <w:r>
        <w:t xml:space="preserve">mice with high accuracy. A similar analysis was further able to predict</w:t>
      </w:r>
      <w:r>
        <w:t xml:space="preserve"> </w:t>
      </w:r>
      <w:r>
        <w:t xml:space="preserve">obesity and diabetes in human cohorts with measured gene expression in</w:t>
      </w:r>
      <w:r>
        <w:t xml:space="preserve"> </w:t>
      </w:r>
      <w:r>
        <w:t xml:space="preserve">adipose tissue. However, models using local eQTL alone were unable to</w:t>
      </w:r>
      <w:r>
        <w:t xml:space="preserve"> </w:t>
      </w:r>
      <w:r>
        <w:t xml:space="preserve">predict obesity in the second mouse population. These results further</w:t>
      </w:r>
      <w:r>
        <w:t xml:space="preserve"> </w:t>
      </w:r>
      <w:r>
        <w:t xml:space="preserve">support the hypothesis that the effects of genetic background on traits</w:t>
      </w:r>
      <w:r>
        <w:t xml:space="preserve"> </w:t>
      </w:r>
      <w:r>
        <w:t xml:space="preserve">are mediated primarily through distal gene regulation. Finally, we</w:t>
      </w:r>
      <w:r>
        <w:t xml:space="preserve"> </w:t>
      </w:r>
      <w:r>
        <w:t xml:space="preserve">showed that these transcriptomic signatures have multiple applications,</w:t>
      </w:r>
      <w:r>
        <w:t xml:space="preserve"> </w:t>
      </w:r>
      <w:r>
        <w:t xml:space="preserve">including analyses of tissue composition from bulk RNA-Seq and drug</w:t>
      </w:r>
      <w:r>
        <w:t xml:space="preserve"> </w:t>
      </w:r>
      <w:r>
        <w:t xml:space="preserve">prioritization.</w:t>
      </w:r>
    </w:p>
    <w:p>
      <w:pPr>
        <w:pStyle w:val="BodyText"/>
      </w:pPr>
      <w:r>
        <w:t xml:space="preserve">It is thought that the bulk of the effect of genomic variation on</w:t>
      </w:r>
      <w:r>
        <w:t xml:space="preserve"> </w:t>
      </w:r>
      <w:r>
        <w:t xml:space="preserve">complex traits is mediated through regulation of gene expression. It has</w:t>
      </w:r>
      <w:r>
        <w:t xml:space="preserve"> </w:t>
      </w:r>
      <w:r>
        <w:t xml:space="preserve">frequently been assumed that this regulation is largely in</w:t>
      </w:r>
      <w:r>
        <w:t xml:space="preserve"> </w:t>
      </w:r>
      <w:r>
        <w:rPr>
          <w:iCs/>
          <w:i/>
        </w:rPr>
        <w:t xml:space="preserve">cis</w:t>
      </w:r>
      <w:r>
        <w:t xml:space="preserve">,</w:t>
      </w:r>
      <w:r>
        <w:t xml:space="preserve"> </w:t>
      </w:r>
      <w:r>
        <w:t xml:space="preserve">but attempts to use local gene regulation to explain phenotypic</w:t>
      </w:r>
      <w:r>
        <w:t xml:space="preserve"> </w:t>
      </w:r>
      <w:r>
        <w:t xml:space="preserve">variation have yet to explain much trait heritability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In</w:t>
      </w:r>
      <w:r>
        <w:t xml:space="preserve"> </w:t>
      </w:r>
      <w:r>
        <w:t xml:space="preserve">recent years, the discussion has turned to distal gene regulation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Although, distal gene regulation is more complex to identify,</w:t>
      </w:r>
      <w:r>
        <w:t xml:space="preserve"> </w:t>
      </w:r>
      <w:r>
        <w:t xml:space="preserve">evidence suggests that it is an important component of trait</w:t>
      </w:r>
      <w:r>
        <w:t xml:space="preserve"> </w:t>
      </w:r>
      <w:r>
        <w:t xml:space="preserve">heritability.</w:t>
      </w:r>
    </w:p>
    <w:p>
      <w:pPr>
        <w:pStyle w:val="BodyText"/>
      </w:pPr>
      <w:r>
        <w:t xml:space="preserve">Yao</w:t>
      </w:r>
      <w:r>
        <w:t xml:space="preserve"> </w:t>
      </w:r>
      <w:r>
        <w:rPr>
          <w:iCs/>
          <w:i/>
        </w:rPr>
        <w:t xml:space="preserve">et al.</w:t>
      </w:r>
      <w:r>
        <w:rPr>
          <w:vertAlign w:val="superscript"/>
        </w:rPr>
        <w:t xml:space="preserve">19</w:t>
      </w:r>
      <w:r>
        <w:t xml:space="preserve"> </w:t>
      </w:r>
      <w:r>
        <w:t xml:space="preserve">observed that in humans,</w:t>
      </w:r>
      <w:r>
        <w:t xml:space="preserve"> </w:t>
      </w:r>
      <w:r>
        <w:t xml:space="preserve">transcripts with low local heritability explained more</w:t>
      </w:r>
      <w:r>
        <w:t xml:space="preserve"> </w:t>
      </w:r>
      <w:r>
        <w:t xml:space="preserve">expression-mediated disease heritability than transcripts with high</w:t>
      </w:r>
      <w:r>
        <w:t xml:space="preserve"> </w:t>
      </w:r>
      <w:r>
        <w:t xml:space="preserve">local heritability. We observed the same trend here in mice in a</w:t>
      </w:r>
      <w:r>
        <w:t xml:space="preserve"> </w:t>
      </w:r>
      <w:r>
        <w:t xml:space="preserve">well-powered study of all major tissues of action simultaneously. This</w:t>
      </w:r>
      <w:r>
        <w:t xml:space="preserve"> </w:t>
      </w:r>
      <w:r>
        <w:t xml:space="preserve">pattern is consistent with principles of robustness in complex systems</w:t>
      </w:r>
      <w:r>
        <w:rPr>
          <w:vertAlign w:val="superscript"/>
        </w:rPr>
        <w:t xml:space="preserve">61–63</w:t>
      </w:r>
      <w:r>
        <w:t xml:space="preserve">. If a transcript were</w:t>
      </w:r>
      <w:r>
        <w:t xml:space="preserve"> </w:t>
      </w:r>
      <w:r>
        <w:t xml:space="preserve">both important to a trait and subject to strong local regulation, a</w:t>
      </w:r>
      <w:r>
        <w:t xml:space="preserve"> </w:t>
      </w:r>
      <w:r>
        <w:t xml:space="preserve">population would be susceptible to extremes in phenotype that might</w:t>
      </w:r>
      <w:r>
        <w:t xml:space="preserve"> </w:t>
      </w:r>
      <w:r>
        <w:t xml:space="preserve">frequently cross the threshold to disease. Indeed, strong disruption of</w:t>
      </w:r>
      <w:r>
        <w:t xml:space="preserve"> </w:t>
      </w:r>
      <w:r>
        <w:t xml:space="preserve">highly trait-relevant genes is the cause of Mendelian disease.</w:t>
      </w:r>
    </w:p>
    <w:p>
      <w:pPr>
        <w:pStyle w:val="BodyText"/>
      </w:pPr>
      <w:r>
        <w:t xml:space="preserve">Rather, studies suggest that genes that are near GWAS hits and have</w:t>
      </w:r>
      <w:r>
        <w:t xml:space="preserve"> </w:t>
      </w:r>
      <w:r>
        <w:t xml:space="preserve">obvious functional relevance to a trait tend to have highly complex</w:t>
      </w:r>
      <w:r>
        <w:t xml:space="preserve"> </w:t>
      </w:r>
      <w:r>
        <w:t xml:space="preserve">regulatory landscapes under strong selection pressures</w:t>
      </w:r>
      <w:r>
        <w:rPr>
          <w:vertAlign w:val="superscript"/>
        </w:rPr>
        <w:t xml:space="preserve">18</w:t>
      </w:r>
      <w:r>
        <w:t xml:space="preserve">. In contrast, genes with strong local regulation</w:t>
      </w:r>
      <w:r>
        <w:t xml:space="preserve"> </w:t>
      </w:r>
      <w:r>
        <w:t xml:space="preserve">tend to be depleted of functional annotations and are under looser</w:t>
      </w:r>
      <w:r>
        <w:t xml:space="preserve"> </w:t>
      </w:r>
      <w:r>
        <w:t xml:space="preserve">selection constraints</w:t>
      </w:r>
      <w:r>
        <w:rPr>
          <w:vertAlign w:val="superscript"/>
        </w:rPr>
        <w:t xml:space="preserve">18</w:t>
      </w:r>
      <w:r>
        <w:t xml:space="preserve">. These observations and others</w:t>
      </w:r>
      <w:r>
        <w:t xml:space="preserve"> </w:t>
      </w:r>
      <w:r>
        <w:t xml:space="preserve">led Liu et al. </w:t>
      </w:r>
      <w:r>
        <w:rPr>
          <w:vertAlign w:val="superscript"/>
        </w:rPr>
        <w:t xml:space="preserve">64</w:t>
      </w:r>
      <w:r>
        <w:t xml:space="preserve"> </w:t>
      </w:r>
      <w:r>
        <w:t xml:space="preserve">to suggest that most heritability of</w:t>
      </w:r>
      <w:r>
        <w:t xml:space="preserve"> </w:t>
      </w:r>
      <w:r>
        <w:t xml:space="preserve">complex traits is driven by weak distal eQTLs. They proposed a framework</w:t>
      </w:r>
      <w:r>
        <w:t xml:space="preserve"> </w:t>
      </w:r>
      <w:r>
        <w:t xml:space="preserve">of understanding heritability of complex traits in which massive</w:t>
      </w:r>
      <w:r>
        <w:t xml:space="preserve"> </w:t>
      </w:r>
      <w:r>
        <w:t xml:space="preserve">polygenicity is distributed across common variants in both functional</w:t>
      </w:r>
      <w:r>
        <w:t xml:space="preserve"> </w:t>
      </w:r>
      <w:r>
        <w:t xml:space="preserve">“</w:t>
      </w:r>
      <w:r>
        <w:t xml:space="preserve">core genes</w:t>
      </w:r>
      <w:r>
        <w:t xml:space="preserve">”</w:t>
      </w:r>
      <w:r>
        <w:t xml:space="preserve">, as well as more peripheral genes that may not seem</w:t>
      </w:r>
      <w:r>
        <w:t xml:space="preserve"> </w:t>
      </w:r>
      <w:r>
        <w:t xml:space="preserve">obviously related to the trait.</w:t>
      </w:r>
    </w:p>
    <w:p>
      <w:pPr>
        <w:pStyle w:val="BodyText"/>
      </w:pPr>
      <w:r>
        <w:t xml:space="preserve">Here, we used large, comprehensive, and purpose-built data sets to</w:t>
      </w:r>
      <w:r>
        <w:t xml:space="preserve"> </w:t>
      </w:r>
      <w:r>
        <w:t xml:space="preserve">investigate the genetic architecture of complex traits related to</w:t>
      </w:r>
      <w:r>
        <w:t xml:space="preserve"> </w:t>
      </w:r>
      <w:r>
        <w:t xml:space="preserve">metabolic disease in mice as well as the roles of local and distal gene</w:t>
      </w:r>
      <w:r>
        <w:t xml:space="preserve"> </w:t>
      </w:r>
      <w:r>
        <w:t xml:space="preserve">regulation in mediating these traits. We presented a systems-level</w:t>
      </w:r>
      <w:r>
        <w:t xml:space="preserve"> </w:t>
      </w:r>
      <w:r>
        <w:t xml:space="preserve">method called high-dimension mediation analysis (HDMA) to specifically</w:t>
      </w:r>
      <w:r>
        <w:t xml:space="preserve"> </w:t>
      </w:r>
      <w:r>
        <w:t xml:space="preserve">identify the distally regulated transcriptomic signature mediating the</w:t>
      </w:r>
      <w:r>
        <w:t xml:space="preserve"> </w:t>
      </w:r>
      <w:r>
        <w:t xml:space="preserve">effect of the genotype on phenotype. This approach contrasts with</w:t>
      </w:r>
      <w:r>
        <w:t xml:space="preserve"> </w:t>
      </w:r>
      <w:r>
        <w:t xml:space="preserve">traditional univariate approaches in several important respects. First,</w:t>
      </w:r>
      <w:r>
        <w:t xml:space="preserve"> </w:t>
      </w:r>
      <w:r>
        <w:t xml:space="preserve">in contrast to univariate approaches, which assume independence of</w:t>
      </w:r>
      <w:r>
        <w:t xml:space="preserve"> </w:t>
      </w:r>
      <w:r>
        <w:t xml:space="preserve">genetic variants and transcripts, HDMA allows for arbitrarily complex</w:t>
      </w:r>
      <w:r>
        <w:t xml:space="preserve"> </w:t>
      </w:r>
      <w:r>
        <w:t xml:space="preserve">gene regulation, as well as the interconnectedness and redundancy of the</w:t>
      </w:r>
      <w:r>
        <w:t xml:space="preserve"> </w:t>
      </w:r>
      <w:r>
        <w:t xml:space="preserve">transcriptome. Second, rather than assuming a single, large genetic</w:t>
      </w:r>
      <w:r>
        <w:t xml:space="preserve"> </w:t>
      </w:r>
      <w:r>
        <w:t xml:space="preserve">effect as univariate approaches do, HDMA assumes that traits are highly</w:t>
      </w:r>
      <w:r>
        <w:t xml:space="preserve"> </w:t>
      </w:r>
      <w:r>
        <w:t xml:space="preserve">polygenic, and that genetic effects are weak and are distributed across</w:t>
      </w:r>
      <w:r>
        <w:t xml:space="preserve"> </w:t>
      </w:r>
      <w:r>
        <w:t xml:space="preserve">the genome. HDMA generates a weighted vector of transcripts that can be</w:t>
      </w:r>
      <w:r>
        <w:t xml:space="preserve"> </w:t>
      </w:r>
      <w:r>
        <w:t xml:space="preserve">analyzed as a whole, or dissected to identify transcripts with stronger</w:t>
      </w:r>
      <w:r>
        <w:t xml:space="preserve"> </w:t>
      </w:r>
      <w:r>
        <w:t xml:space="preserve">and weaker effects. This method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</w:t>
      </w:r>
    </w:p>
    <w:p>
      <w:pPr>
        <w:pStyle w:val="BodyText"/>
      </w:pPr>
      <w:r>
        <w:t xml:space="preserve">Using HDMA, we identified a highly heritable composite trait (</w:t>
      </w:r>
      <m:oMath>
        <m:sSup>
          <m:e>
            <m:r>
              <m:t>h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0.71) that explained 30% of overall trait variance, and was perfectly</w:t>
      </w:r>
      <w:r>
        <w:t xml:space="preserve"> </w:t>
      </w:r>
      <w:r>
        <w:t xml:space="preserve">mediated by a composite transcript that included expression from four</w:t>
      </w:r>
      <w:r>
        <w:t xml:space="preserve"> </w:t>
      </w:r>
      <w:r>
        <w:t xml:space="preserve">tissues known to be involved in metabolic disease. Gene expression in</w:t>
      </w:r>
      <w:r>
        <w:t xml:space="preserve"> </w:t>
      </w:r>
      <w:r>
        <w:t xml:space="preserve">adipose tissue was the strongest mediator of genetic effects on</w:t>
      </w:r>
      <w:r>
        <w:t xml:space="preserve"> </w:t>
      </w:r>
      <w:r>
        <w:t xml:space="preserve">metabolic disease. Further analysis of the loadings onto transcripts in</w:t>
      </w:r>
      <w:r>
        <w:t xml:space="preserve"> </w:t>
      </w:r>
      <w:r>
        <w:t xml:space="preserve">each tissue revealed that the mediating signatures were tissue-specific</w:t>
      </w:r>
      <w:r>
        <w:t xml:space="preserve"> </w:t>
      </w:r>
      <w:r>
        <w:t xml:space="preserve">transcriptional programs, many of which were previously known to be</w:t>
      </w:r>
      <w:r>
        <w:t xml:space="preserve"> </w:t>
      </w:r>
      <w:r>
        <w:t xml:space="preserve">involved in the pathogenesis of metabolic disease. We showed here that</w:t>
      </w:r>
      <w:r>
        <w:t xml:space="preserve"> </w:t>
      </w:r>
      <w:r>
        <w:t xml:space="preserve">regulation of these programs is heritable and mediated a large</w:t>
      </w:r>
      <w:r>
        <w:t xml:space="preserve"> </w:t>
      </w:r>
      <w:r>
        <w:t xml:space="preserve">proportion of disease risk.</w:t>
      </w:r>
    </w:p>
    <w:p>
      <w:pPr>
        <w:pStyle w:val="BodyText"/>
      </w:pPr>
      <w:r>
        <w:t xml:space="preserve">The transcripts with the highest loadings are similar to the core genes</w:t>
      </w:r>
      <w:r>
        <w:t xml:space="preserve"> </w:t>
      </w:r>
      <w:r>
        <w:t xml:space="preserve">of the omnigenic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These were transcripts of moderate</w:t>
      </w:r>
      <w:r>
        <w:t xml:space="preserve"> </w:t>
      </w:r>
      <w:r>
        <w:t xml:space="preserve">local heritability that were highly functionally related to the traits.</w:t>
      </w:r>
      <w:r>
        <w:t xml:space="preserve"> </w:t>
      </w:r>
      <w:r>
        <w:t xml:space="preserve">Transcripts with small loadings are more peripheral to the traits</w:t>
      </w:r>
      <w:r>
        <w:t xml:space="preserve"> </w:t>
      </w:r>
      <w:r>
        <w:t xml:space="preserve">measured in this experiment. There was no clear demarcation between the</w:t>
      </w:r>
      <w:r>
        <w:t xml:space="preserve"> </w:t>
      </w:r>
      <w:r>
        <w:t xml:space="preserve">core and peripheral genes as far as loading, but a clear separation</w:t>
      </w:r>
      <w:r>
        <w:t xml:space="preserve"> </w:t>
      </w:r>
      <w:r>
        <w:t xml:space="preserve">should not be expected given the complexity of gene regulation and the</w:t>
      </w:r>
      <w:r>
        <w:t xml:space="preserve"> </w:t>
      </w:r>
      <w:r>
        <w:t xml:space="preserve">genotype-phenotype map</w:t>
      </w:r>
      <w:r>
        <w:rPr>
          <w:vertAlign w:val="superscript"/>
        </w:rPr>
        <w:t xml:space="preserve">65</w:t>
      </w:r>
      <w:r>
        <w:t xml:space="preserve">.</w:t>
      </w:r>
    </w:p>
    <w:p>
      <w:pPr>
        <w:pStyle w:val="BodyText"/>
      </w:pPr>
      <w:r>
        <w:t xml:space="preserve">The strength of mediation (transcript loading) was negatively correlated</w:t>
      </w:r>
      <w:r>
        <w:t xml:space="preserve"> </w:t>
      </w:r>
      <w:r>
        <w:t xml:space="preserve">with local heritability and positively correlated with distal</w:t>
      </w:r>
      <w:r>
        <w:t xml:space="preserve"> </w:t>
      </w:r>
      <w:r>
        <w:t xml:space="preserve">heritability, suggesting that distal gene regulation was the dominant</w:t>
      </w:r>
      <w:r>
        <w:t xml:space="preserve"> </w:t>
      </w:r>
      <w:r>
        <w:t xml:space="preserve">mode through which gene expression mediated the effect of genotype on</w:t>
      </w:r>
      <w:r>
        <w:t xml:space="preserve"> </w:t>
      </w:r>
      <w:r>
        <w:t xml:space="preserve">phenotype. We saw further that the distal heritability was weak and</w:t>
      </w:r>
      <w:r>
        <w:t xml:space="preserve"> </w:t>
      </w:r>
      <w:r>
        <w:t xml:space="preserve">spread across the genome, consistent with the prediction by Liu</w:t>
      </w:r>
      <w:r>
        <w:t xml:space="preserve"> </w:t>
      </w:r>
      <w:r>
        <w:rPr>
          <w:iCs/>
          <w:i/>
        </w:rPr>
        <w:t xml:space="preserve">et al.</w:t>
      </w:r>
      <w:r>
        <w:rPr>
          <w:vertAlign w:val="superscript"/>
        </w:rPr>
        <w:t xml:space="preserve">64</w:t>
      </w:r>
      <w:r>
        <w:t xml:space="preserve"> </w:t>
      </w:r>
      <w:r>
        <w:t xml:space="preserve">that trait heritability is mediated</w:t>
      </w:r>
      <w:r>
        <w:t xml:space="preserve"> </w:t>
      </w:r>
      <w:r>
        <w:t xml:space="preserve">through weak distal eQTLs. Most strongly mediating transcripts had</w:t>
      </w:r>
      <w:r>
        <w:t xml:space="preserve"> </w:t>
      </w:r>
      <w:r>
        <w:t xml:space="preserve">modest distal heritability, and even for those whose expression was</w:t>
      </w:r>
      <w:r>
        <w:t xml:space="preserve"> </w:t>
      </w:r>
      <w:r>
        <w:t xml:space="preserve">strongly regulated by distal factors, these factors were multiple and</w:t>
      </w:r>
      <w:r>
        <w:t xml:space="preserve"> </w:t>
      </w:r>
      <w:r>
        <w:t xml:space="preserve">spread across the genome.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was a strongly</w:t>
      </w:r>
      <w:r>
        <w:t xml:space="preserve"> </w:t>
      </w:r>
      <w:r>
        <w:t xml:space="preserve">mediating transcript in islet and was also strongly distally regulated</w:t>
      </w:r>
      <w:r>
        <w:t xml:space="preserve"> </w:t>
      </w:r>
      <w:r>
        <w:t xml:space="preserve">(66% distal heritability). This gene is 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 glucagon release</w:t>
      </w:r>
      <w:r>
        <w:rPr>
          <w:vertAlign w:val="superscript"/>
        </w:rPr>
        <w:t xml:space="preserve">66–68</w:t>
      </w:r>
      <w:r>
        <w:t xml:space="preserve">. Although its transcription was highly heritable in</w:t>
      </w:r>
      <w:r>
        <w:t xml:space="preserve"> </w:t>
      </w:r>
      <w:r>
        <w:t xml:space="preserve">islets, that regulation was distributed across the genome, with no clear</w:t>
      </w:r>
      <w:r>
        <w:t xml:space="preserve"> </w:t>
      </w:r>
      <w:r>
        <w:t xml:space="preserve">distal eQTL (Supp. Fig. 5). Thus, although distal regulation of some</w:t>
      </w:r>
      <w:r>
        <w:t xml:space="preserve"> </w:t>
      </w:r>
      <w:r>
        <w:t xml:space="preserve">genes may be strong, this regulation is likely to be highly complex and</w:t>
      </w:r>
      <w:r>
        <w:t xml:space="preserve"> </w:t>
      </w:r>
      <w:r>
        <w:t xml:space="preserve">not easily localized.</w:t>
      </w:r>
    </w:p>
    <w:p>
      <w:pPr>
        <w:pStyle w:val="BodyText"/>
      </w:pPr>
      <w:r>
        <w:t xml:space="preserve">The high complexity of gene regulation combined with a systems-level</w:t>
      </w:r>
      <w:r>
        <w:t xml:space="preserve"> </w:t>
      </w:r>
      <w:r>
        <w:t xml:space="preserve">analysis yields continuous results that do not necessarily implicate</w:t>
      </w:r>
      <w:r>
        <w:t xml:space="preserve"> </w:t>
      </w:r>
      <w:r>
        <w:t xml:space="preserve">individual transcripts or genetic loci in disease pathogenesis. Most</w:t>
      </w:r>
      <w:r>
        <w:t xml:space="preserve"> </w:t>
      </w:r>
      <w:r>
        <w:t xml:space="preserve">studies have focused on pinpointing individual loci whose mechanistic</w:t>
      </w:r>
      <w:r>
        <w:t xml:space="preserve"> </w:t>
      </w:r>
      <w:r>
        <w:t xml:space="preserve">roles can be clearly dissected through further experiments and exploited</w:t>
      </w:r>
      <w:r>
        <w:t xml:space="preserve"> </w:t>
      </w:r>
      <w:r>
        <w:t xml:space="preserve">at therapeutic targets. In this analysis, too, it is possible to focus</w:t>
      </w:r>
      <w:r>
        <w:t xml:space="preserve"> </w:t>
      </w:r>
      <w:r>
        <w:t xml:space="preserve">on individual genes and their context in both tissues and pathways. For</w:t>
      </w:r>
      <w:r>
        <w:t xml:space="preserve"> </w:t>
      </w:r>
      <w:r>
        <w:t xml:space="preserve">example, the loadings on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were tissue-specific in a way</w:t>
      </w:r>
      <w:r>
        <w:t xml:space="preserve"> </w:t>
      </w:r>
      <w:r>
        <w:t xml:space="preserve">that comports with known biology, i.e. it is known to be protective in</w:t>
      </w:r>
      <w:r>
        <w:t xml:space="preserve"> </w:t>
      </w:r>
      <w:r>
        <w:t xml:space="preserve">adipose tissue where it was negatively loaded, and harmful in the liver,</w:t>
      </w:r>
      <w:r>
        <w:t xml:space="preserve"> </w:t>
      </w:r>
      <w:r>
        <w:t xml:space="preserve">where it was positively loaded. However, whole transcriptomic signatures</w:t>
      </w:r>
      <w:r>
        <w:t xml:space="preserve"> </w:t>
      </w:r>
      <w:r>
        <w:t xml:space="preserve">can also be informative in their own right. Combined with increasing</w:t>
      </w:r>
      <w:r>
        <w:t xml:space="preserve"> </w:t>
      </w:r>
      <w:r>
        <w:t xml:space="preserve">amounts of high-dimensional data in public databases, weighted vectors</w:t>
      </w:r>
      <w:r>
        <w:t xml:space="preserve"> </w:t>
      </w:r>
      <w:r>
        <w:t xml:space="preserve">can be useful for generating hypotheses and potential drug treatments.</w:t>
      </w:r>
      <w:r>
        <w:t xml:space="preserve"> </w:t>
      </w:r>
      <w:r>
        <w:t xml:space="preserve">We showed that weighted vectors of genes can be analyzed for enriched</w:t>
      </w:r>
      <w:r>
        <w:t xml:space="preserve"> </w:t>
      </w:r>
      <w:r>
        <w:t xml:space="preserve">biological functions and pathways using GSEA. These vectors can also be</w:t>
      </w:r>
      <w:r>
        <w:t xml:space="preserve"> </w:t>
      </w:r>
      <w:r>
        <w:t xml:space="preserve">paired with data about cell-type specific genes to generate hypotheses</w:t>
      </w:r>
      <w:r>
        <w:t xml:space="preserve"> </w:t>
      </w:r>
      <w:r>
        <w:t xml:space="preserve">about cell composition in individual tissues. Gene expression derived</w:t>
      </w:r>
      <w:r>
        <w:t xml:space="preserve"> </w:t>
      </w:r>
      <w:r>
        <w:t xml:space="preserve">from patient biopsies confirmed that the transcriptional signatures we</w:t>
      </w:r>
      <w:r>
        <w:t xml:space="preserve"> </w:t>
      </w:r>
      <w:r>
        <w:t xml:space="preserve">identified in mice predict obesity status in humans, further supporting</w:t>
      </w:r>
      <w:r>
        <w:t xml:space="preserve"> </w:t>
      </w:r>
      <w:r>
        <w:t xml:space="preserve">the translatability of these results. Finally, we used the CMAP database</w:t>
      </w:r>
      <w:r>
        <w:t xml:space="preserve"> </w:t>
      </w:r>
      <w:r>
        <w:t xml:space="preserve">to show that the transcriptomic signatures we identified in mice could</w:t>
      </w:r>
      <w:r>
        <w:t xml:space="preserve"> </w:t>
      </w:r>
      <w:r>
        <w:t xml:space="preserve">be translated into human drug targets, as currently used diabetes drugs</w:t>
      </w:r>
      <w:r>
        <w:t xml:space="preserve"> </w:t>
      </w:r>
      <w:r>
        <w:t xml:space="preserve">and targets were among the top hits for reversing the disease-associated</w:t>
      </w:r>
      <w:r>
        <w:t xml:space="preserve"> </w:t>
      </w:r>
      <w:r>
        <w:t xml:space="preserve">signatures. That these drugs are known to reverse diabetes pathogenesis</w:t>
      </w:r>
      <w:r>
        <w:t xml:space="preserve"> </w:t>
      </w:r>
      <w:r>
        <w:t xml:space="preserve">supports the causal role of these gene signatures in disease risk as</w:t>
      </w:r>
      <w:r>
        <w:t xml:space="preserve"> </w:t>
      </w:r>
      <w:r>
        <w:t xml:space="preserve">modeled by high-dimensional mediation.</w:t>
      </w:r>
    </w:p>
    <w:p>
      <w:pPr>
        <w:pStyle w:val="BodyText"/>
      </w:pPr>
      <w:r>
        <w:t xml:space="preserve">In conclusion, we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causal of disease, and translatable to</w:t>
      </w:r>
      <w:r>
        <w:t xml:space="preserve"> </w:t>
      </w:r>
      <w:r>
        <w:t xml:space="preserve">other mouse populations and to humans. Finally, we have shown that by</w:t>
      </w:r>
      <w:r>
        <w:t xml:space="preserve"> </w:t>
      </w:r>
      <w:r>
        <w:t xml:space="preserve">directly acknowledging the complexity of both gene regulation and the</w:t>
      </w:r>
      <w:r>
        <w:t xml:space="preserve"> </w:t>
      </w:r>
      <w:r>
        <w:t xml:space="preserve">genotype-to-phenotype map, we can gain a new perspective on disease</w:t>
      </w:r>
      <w:r>
        <w:t xml:space="preserve"> </w:t>
      </w:r>
      <w:r>
        <w:t xml:space="preserve">pathogenesis and develop actionable hypotheses about pathogenic</w:t>
      </w:r>
      <w:r>
        <w:t xml:space="preserve"> </w:t>
      </w:r>
      <w:r>
        <w:t xml:space="preserve">mechanisms and potential treatments.</w:t>
      </w:r>
    </w:p>
    <w:p>
      <w:pPr>
        <w:pStyle w:val="BodyText"/>
      </w:pPr>
      <w:r>
        <w:t xml:space="preserve">Potentially comment on: 1) Mediating on other endophenotypes 2)</w:t>
      </w:r>
      <w:r>
        <w:t xml:space="preserve"> </w:t>
      </w:r>
      <w:r>
        <w:t xml:space="preserve">Limitation that we only find signatures</w:t>
      </w:r>
      <w:r>
        <w:t xml:space="preserve"> </w:t>
      </w:r>
      <w:r>
        <w:t xml:space="preserve">“</w:t>
      </w:r>
      <w:r>
        <w:t xml:space="preserve">consistent with</w:t>
      </w:r>
      <w:r>
        <w:t xml:space="preserve">”</w:t>
      </w:r>
      <w:r>
        <w:t xml:space="preserve"> </w:t>
      </w:r>
      <w:r>
        <w:t xml:space="preserve">mediation</w:t>
      </w:r>
      <w:r>
        <w:t xml:space="preserve"> </w:t>
      </w:r>
      <w:r>
        <w:t xml:space="preserve">and that our approach is hypothesis generating 3) Is the kinship matrix</w:t>
      </w:r>
      <w:r>
        <w:t xml:space="preserve"> </w:t>
      </w:r>
      <w:r>
        <w:t xml:space="preserve">the sum of all local QTLs, or is it something more inclusive, including</w:t>
      </w:r>
      <w:r>
        <w:t xml:space="preserve"> </w:t>
      </w:r>
      <w:r>
        <w:t xml:space="preserve">distal regulation, development, etc. 4) endophenotypes don’t need to be</w:t>
      </w:r>
      <w:r>
        <w:t xml:space="preserve"> </w:t>
      </w:r>
      <w:r>
        <w:t xml:space="preserve">gene expression. Can be anything you think is causally related to</w:t>
      </w:r>
      <w:r>
        <w:t xml:space="preserve"> </w:t>
      </w:r>
      <w:r>
        <w:t xml:space="preserve">phenotype and can be manipulated</w:t>
      </w:r>
    </w:p>
    <w:bookmarkEnd w:id="57"/>
    <w:bookmarkStart w:id="58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8"/>
    <w:bookmarkStart w:id="59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59"/>
    <w:bookmarkStart w:id="146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ures/Supp_Fig1_eQTL.pdf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ures/Supp_Fig_enrichments_KEGG.pdf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Figures/Supp_Fig_enrichments_GO.pdf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Figures/Supp_Fig_CC-RIX_Imputation.pdf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Figures/Supplemental_FigX_Nucb2_eQTL.pdf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45" w:name="refs"/>
    <w:bookmarkStart w:id="75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75"/>
    <w:bookmarkStart w:id="76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76"/>
    <w:bookmarkStart w:id="77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77"/>
    <w:bookmarkStart w:id="78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78"/>
    <w:bookmarkStart w:id="79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79"/>
    <w:bookmarkStart w:id="80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80"/>
    <w:bookmarkStart w:id="81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81"/>
    <w:bookmarkStart w:id="82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82"/>
    <w:bookmarkStart w:id="83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83"/>
    <w:bookmarkStart w:id="84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84"/>
    <w:bookmarkStart w:id="85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85"/>
    <w:bookmarkStart w:id="86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86"/>
    <w:bookmarkStart w:id="87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87"/>
    <w:bookmarkStart w:id="88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88"/>
    <w:bookmarkStart w:id="89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89"/>
    <w:bookmarkStart w:id="90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90"/>
    <w:bookmarkStart w:id="91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91"/>
    <w:bookmarkStart w:id="92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92"/>
    <w:bookmarkStart w:id="93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93"/>
    <w:bookmarkStart w:id="94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94"/>
    <w:bookmarkStart w:id="95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95"/>
    <w:bookmarkStart w:id="96" w:name="ref-pmid31133439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96"/>
    <w:bookmarkStart w:id="97" w:name="ref-pmid17018838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97"/>
    <w:bookmarkStart w:id="98" w:name="ref-pmid30591514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98"/>
    <w:bookmarkStart w:id="100" w:name="ref-rgcca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99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00"/>
    <w:bookmarkStart w:id="102" w:name="ref-fgse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01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02"/>
    <w:bookmarkStart w:id="103" w:name="ref-pmid16199517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03"/>
    <w:bookmarkStart w:id="104" w:name="ref-pmid22560213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04"/>
    <w:bookmarkStart w:id="105" w:name="ref-pmid19841271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05"/>
    <w:bookmarkStart w:id="106" w:name="ref-pmid17389767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06"/>
    <w:bookmarkStart w:id="107" w:name="ref-pmid12805374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07"/>
    <w:bookmarkStart w:id="108" w:name="ref-pmid12618528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08"/>
    <w:bookmarkStart w:id="109" w:name="ref-pmid16357043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09"/>
    <w:bookmarkStart w:id="110" w:name="ref-pmid15644454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10"/>
    <w:bookmarkStart w:id="111" w:name="ref-pmid16403437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11"/>
    <w:bookmarkStart w:id="112" w:name="ref-pmid30290005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12"/>
    <w:bookmarkStart w:id="113" w:name="ref-pmid30034573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13"/>
    <w:bookmarkStart w:id="114" w:name="ref-pmid23881200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14"/>
    <w:bookmarkStart w:id="115" w:name="ref-pmid21266327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15"/>
    <w:bookmarkStart w:id="116" w:name="ref-pmid24582093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16"/>
    <w:bookmarkStart w:id="117" w:name="ref-pmid35585199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17"/>
    <w:bookmarkStart w:id="118" w:name="ref-pmid30310815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18"/>
    <w:bookmarkStart w:id="119" w:name="ref-pmid11254472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19"/>
    <w:bookmarkStart w:id="120" w:name="ref-pmid23197361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20"/>
    <w:bookmarkStart w:id="121" w:name="ref-pmid27411014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21"/>
    <w:bookmarkStart w:id="122" w:name="ref-pmid25385872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22"/>
    <w:bookmarkStart w:id="123" w:name="ref-pmid34450194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23"/>
    <w:bookmarkStart w:id="124" w:name="ref-pmid21459330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24"/>
    <w:bookmarkStart w:id="125" w:name="ref-pmid12114611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25"/>
    <w:bookmarkStart w:id="126" w:name="ref-pmid33648925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26"/>
    <w:bookmarkStart w:id="127" w:name="ref-pmid28753229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27"/>
    <w:bookmarkStart w:id="128" w:name="ref-pmid28683283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28"/>
    <w:bookmarkStart w:id="129" w:name="ref-pmid15685170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29"/>
    <w:bookmarkStart w:id="130" w:name="ref-pmid33603744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30"/>
    <w:bookmarkStart w:id="131" w:name="ref-pmid32281000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31"/>
    <w:bookmarkStart w:id="132" w:name="ref-pmid27007849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32"/>
    <w:bookmarkStart w:id="133" w:name="ref-pmid28823510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33"/>
    <w:bookmarkStart w:id="134" w:name="ref-pmid24520198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34"/>
    <w:bookmarkStart w:id="135" w:name="ref-pmid21190462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35"/>
    <w:bookmarkStart w:id="136" w:name="ref-pmid16631807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36"/>
    <w:bookmarkStart w:id="137" w:name="ref-pmid29782925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37"/>
    <w:bookmarkStart w:id="138" w:name="ref-pmid12082173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38"/>
    <w:bookmarkStart w:id="139" w:name="ref-pmid27304973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39"/>
    <w:bookmarkStart w:id="140" w:name="ref-pmid31051098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40"/>
    <w:bookmarkStart w:id="141" w:name="ref-pmid29906445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41"/>
    <w:bookmarkStart w:id="142" w:name="ref-pmid22108805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42"/>
    <w:bookmarkStart w:id="143" w:name="ref-pmid23537085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43"/>
    <w:bookmarkStart w:id="144" w:name="ref-pmid24993278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44"/>
    <w:bookmarkEnd w:id="145"/>
    <w:bookmarkEnd w:id="14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0" Target="media/rId60.pdf" /><Relationship Type="http://schemas.openxmlformats.org/officeDocument/2006/relationships/image" Id="rId69" Target="media/rId69.pdf" /><Relationship Type="http://schemas.openxmlformats.org/officeDocument/2006/relationships/image" Id="rId66" Target="media/rId66.pdf" /><Relationship Type="http://schemas.openxmlformats.org/officeDocument/2006/relationships/image" Id="rId63" Target="media/rId63.pdf" /><Relationship Type="http://schemas.openxmlformats.org/officeDocument/2006/relationships/image" Id="rId72" Target="media/rId72.pdf" /><Relationship Type="http://schemas.openxmlformats.org/officeDocument/2006/relationships/hyperlink" Id="rId99" Target="https://CRAN.R-project.org/package=RGCCA" TargetMode="External" /><Relationship Type="http://schemas.openxmlformats.org/officeDocument/2006/relationships/hyperlink" Id="rId101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9" Target="https://CRAN.R-project.org/package=RGCCA" TargetMode="External" /><Relationship Type="http://schemas.openxmlformats.org/officeDocument/2006/relationships/hyperlink" Id="rId101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2024-08-08T14:05:04Z</dcterms:created>
  <dcterms:modified xsi:type="dcterms:W3CDTF">2024-08-08T14:05:04Z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